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84E30">
        <w:rPr>
          <w:sz w:val="28"/>
        </w:rPr>
        <w:t>Räumungsverkauf</w:t>
      </w:r>
    </w:p>
    <w:p w:rsidR="00694A63" w:rsidRPr="00694A63" w:rsidRDefault="00694A63">
      <w:pPr>
        <w:pStyle w:val="IQB-Teilaufgabentitel"/>
        <w:rPr>
          <w:b/>
        </w:rPr>
      </w:pPr>
      <w:r w:rsidRPr="00694A63">
        <w:rPr>
          <w:b/>
        </w:rPr>
        <w:t>Merkmale</w:t>
      </w:r>
      <w:r w:rsidR="00384E3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384E30" w:rsidTr="00384E30">
        <w:tc>
          <w:tcPr>
            <w:tcW w:w="2466" w:type="dxa"/>
            <w:tcBorders>
              <w:top w:val="single" w:sz="4" w:space="0" w:color="auto"/>
            </w:tcBorders>
            <w:vAlign w:val="center"/>
          </w:tcPr>
          <w:p w:rsidR="00384E30" w:rsidRDefault="00384E30" w:rsidP="00C350B6">
            <w:pPr>
              <w:pStyle w:val="IQB-Merkmal"/>
            </w:pPr>
            <w:r>
              <w:t>Leitidee</w:t>
            </w:r>
          </w:p>
        </w:tc>
        <w:tc>
          <w:tcPr>
            <w:tcW w:w="6604" w:type="dxa"/>
            <w:tcBorders>
              <w:top w:val="single" w:sz="4" w:space="0" w:color="auto"/>
            </w:tcBorders>
          </w:tcPr>
          <w:p w:rsidR="00384E30" w:rsidRDefault="00384E30" w:rsidP="00C350B6">
            <w:pPr>
              <w:pStyle w:val="IQB-Merkmalswert"/>
            </w:pPr>
            <w:r>
              <w:t>1. Zahl</w:t>
            </w:r>
          </w:p>
        </w:tc>
      </w:tr>
      <w:tr w:rsidR="00384E30" w:rsidTr="00384E30">
        <w:tc>
          <w:tcPr>
            <w:tcW w:w="2466" w:type="dxa"/>
            <w:vAlign w:val="center"/>
          </w:tcPr>
          <w:p w:rsidR="00384E30" w:rsidRDefault="00384E30" w:rsidP="00C350B6">
            <w:pPr>
              <w:pStyle w:val="IQB-Merkmal"/>
            </w:pPr>
            <w:r>
              <w:t>Allgemeine Kompetenz</w:t>
            </w:r>
          </w:p>
        </w:tc>
        <w:tc>
          <w:tcPr>
            <w:tcW w:w="6604" w:type="dxa"/>
          </w:tcPr>
          <w:p w:rsidR="00384E30" w:rsidRDefault="00384E30" w:rsidP="00C350B6">
            <w:pPr>
              <w:pStyle w:val="IQB-Merkmalswert"/>
            </w:pPr>
            <w:r>
              <w:t>Mathematisches Modellieren (K3),</w:t>
            </w:r>
          </w:p>
          <w:p w:rsidR="00384E30" w:rsidRDefault="00384E30" w:rsidP="00C350B6">
            <w:pPr>
              <w:pStyle w:val="IQB-Merkmalswert"/>
            </w:pPr>
            <w:r>
              <w:t>Mit Mathematik symbolisch/ formal/ technisch umgehen (K5),</w:t>
            </w:r>
          </w:p>
          <w:p w:rsidR="00384E30" w:rsidRDefault="00384E30" w:rsidP="00C350B6">
            <w:pPr>
              <w:pStyle w:val="IQB-Merkmalswert"/>
            </w:pPr>
            <w:r>
              <w:t>Mathematisch kommunizieren (K6)</w:t>
            </w:r>
          </w:p>
        </w:tc>
      </w:tr>
      <w:tr w:rsidR="00384E30" w:rsidTr="00384E30">
        <w:tc>
          <w:tcPr>
            <w:tcW w:w="2466" w:type="dxa"/>
            <w:vAlign w:val="center"/>
          </w:tcPr>
          <w:p w:rsidR="00384E30" w:rsidRDefault="00384E30" w:rsidP="00C350B6">
            <w:pPr>
              <w:pStyle w:val="IQB-Merkmal"/>
            </w:pPr>
            <w:r>
              <w:t>Anforderungsbereich</w:t>
            </w:r>
          </w:p>
        </w:tc>
        <w:tc>
          <w:tcPr>
            <w:tcW w:w="6604" w:type="dxa"/>
          </w:tcPr>
          <w:p w:rsidR="00384E30" w:rsidRDefault="00384E30" w:rsidP="00C350B6">
            <w:pPr>
              <w:pStyle w:val="IQB-Merkmalswert"/>
            </w:pPr>
            <w:r>
              <w:t>I</w:t>
            </w:r>
          </w:p>
        </w:tc>
      </w:tr>
      <w:tr w:rsidR="00384E30" w:rsidTr="00384E30">
        <w:tc>
          <w:tcPr>
            <w:tcW w:w="2466" w:type="dxa"/>
            <w:tcBorders>
              <w:bottom w:val="single" w:sz="4" w:space="0" w:color="auto"/>
            </w:tcBorders>
            <w:vAlign w:val="center"/>
          </w:tcPr>
          <w:p w:rsidR="00384E30" w:rsidRDefault="00384E30" w:rsidP="00C350B6">
            <w:pPr>
              <w:pStyle w:val="IQB-Merkmal"/>
            </w:pPr>
            <w:r>
              <w:t>Kompetenzstufe</w:t>
            </w:r>
          </w:p>
        </w:tc>
        <w:tc>
          <w:tcPr>
            <w:tcW w:w="6604" w:type="dxa"/>
            <w:tcBorders>
              <w:bottom w:val="single" w:sz="4" w:space="0" w:color="auto"/>
            </w:tcBorders>
          </w:tcPr>
          <w:p w:rsidR="00384E30" w:rsidRDefault="00384E30" w:rsidP="00C350B6">
            <w:pPr>
              <w:pStyle w:val="IQB-Merkmalswert"/>
            </w:pPr>
            <w:r>
              <w:t>2</w:t>
            </w:r>
          </w:p>
        </w:tc>
      </w:tr>
    </w:tbl>
    <w:p w:rsidR="00384E30" w:rsidRPr="00694A63" w:rsidRDefault="00384E30" w:rsidP="00384E30">
      <w:pPr>
        <w:pStyle w:val="IQB-Teilaufgabentitel"/>
        <w:rPr>
          <w:b/>
        </w:rPr>
      </w:pPr>
      <w:r w:rsidRPr="00694A63">
        <w:rPr>
          <w:b/>
        </w:rPr>
        <w:t>Merkmale</w:t>
      </w:r>
      <w:r>
        <w:rPr>
          <w:b/>
        </w:rPr>
        <w:t xml:space="preserve"> der Teilaufgabe </w:t>
      </w:r>
      <w:r>
        <w:rPr>
          <w:b/>
        </w:rPr>
        <w:t>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384E30" w:rsidTr="00384E30">
        <w:tc>
          <w:tcPr>
            <w:tcW w:w="2466" w:type="dxa"/>
            <w:tcBorders>
              <w:top w:val="single" w:sz="4" w:space="0" w:color="auto"/>
            </w:tcBorders>
            <w:vAlign w:val="center"/>
          </w:tcPr>
          <w:p w:rsidR="00384E30" w:rsidRDefault="00384E30" w:rsidP="00C350B6">
            <w:pPr>
              <w:pStyle w:val="IQB-Merkmal"/>
            </w:pPr>
            <w:r>
              <w:t>Leitidee</w:t>
            </w:r>
          </w:p>
        </w:tc>
        <w:tc>
          <w:tcPr>
            <w:tcW w:w="6604" w:type="dxa"/>
            <w:tcBorders>
              <w:top w:val="single" w:sz="4" w:space="0" w:color="auto"/>
            </w:tcBorders>
          </w:tcPr>
          <w:p w:rsidR="00384E30" w:rsidRDefault="00384E30" w:rsidP="00C350B6">
            <w:pPr>
              <w:pStyle w:val="IQB-Merkmalswert"/>
            </w:pPr>
            <w:r>
              <w:t>1. Zahl</w:t>
            </w:r>
          </w:p>
        </w:tc>
      </w:tr>
      <w:tr w:rsidR="00384E30" w:rsidTr="00384E30">
        <w:tc>
          <w:tcPr>
            <w:tcW w:w="2466" w:type="dxa"/>
            <w:vAlign w:val="center"/>
          </w:tcPr>
          <w:p w:rsidR="00384E30" w:rsidRDefault="00384E30" w:rsidP="00C350B6">
            <w:pPr>
              <w:pStyle w:val="IQB-Merkmal"/>
            </w:pPr>
            <w:r>
              <w:t>Allgemeine Kompetenz</w:t>
            </w:r>
          </w:p>
        </w:tc>
        <w:tc>
          <w:tcPr>
            <w:tcW w:w="6604" w:type="dxa"/>
          </w:tcPr>
          <w:p w:rsidR="00384E30" w:rsidRDefault="00384E30" w:rsidP="00C350B6">
            <w:pPr>
              <w:pStyle w:val="IQB-Merkmalswert"/>
            </w:pPr>
            <w:r>
              <w:t>Mathematisches Argumentieren (K1),</w:t>
            </w:r>
          </w:p>
          <w:p w:rsidR="00384E30" w:rsidRDefault="00384E30" w:rsidP="00C350B6">
            <w:pPr>
              <w:pStyle w:val="IQB-Merkmalswert"/>
            </w:pPr>
            <w:r>
              <w:t>Mathematisches Modellieren (K3),</w:t>
            </w:r>
          </w:p>
          <w:p w:rsidR="00384E30" w:rsidRDefault="00384E30" w:rsidP="00C350B6">
            <w:pPr>
              <w:pStyle w:val="IQB-Merkmalswert"/>
            </w:pPr>
            <w:r>
              <w:t>Mit Mathematik symbolisch/ formal/ technisch umgehen (K5)</w:t>
            </w:r>
          </w:p>
        </w:tc>
      </w:tr>
      <w:tr w:rsidR="00384E30" w:rsidTr="00384E30">
        <w:tc>
          <w:tcPr>
            <w:tcW w:w="2466" w:type="dxa"/>
            <w:vAlign w:val="center"/>
          </w:tcPr>
          <w:p w:rsidR="00384E30" w:rsidRDefault="00384E30" w:rsidP="00C350B6">
            <w:pPr>
              <w:pStyle w:val="IQB-Merkmal"/>
            </w:pPr>
            <w:r>
              <w:t>Anforderungsbereich</w:t>
            </w:r>
          </w:p>
        </w:tc>
        <w:tc>
          <w:tcPr>
            <w:tcW w:w="6604" w:type="dxa"/>
          </w:tcPr>
          <w:p w:rsidR="00384E30" w:rsidRDefault="00384E30" w:rsidP="00C350B6">
            <w:pPr>
              <w:pStyle w:val="IQB-Merkmalswert"/>
            </w:pPr>
            <w:r>
              <w:t>II</w:t>
            </w:r>
          </w:p>
        </w:tc>
      </w:tr>
      <w:tr w:rsidR="00384E30" w:rsidTr="00384E30">
        <w:tc>
          <w:tcPr>
            <w:tcW w:w="2466" w:type="dxa"/>
            <w:tcBorders>
              <w:bottom w:val="single" w:sz="4" w:space="0" w:color="auto"/>
            </w:tcBorders>
            <w:vAlign w:val="center"/>
          </w:tcPr>
          <w:p w:rsidR="00384E30" w:rsidRDefault="00384E30" w:rsidP="00C350B6">
            <w:pPr>
              <w:pStyle w:val="IQB-Merkmal"/>
            </w:pPr>
            <w:r>
              <w:t>Kompetenzstufe</w:t>
            </w:r>
          </w:p>
        </w:tc>
        <w:tc>
          <w:tcPr>
            <w:tcW w:w="6604" w:type="dxa"/>
            <w:tcBorders>
              <w:bottom w:val="single" w:sz="4" w:space="0" w:color="auto"/>
            </w:tcBorders>
          </w:tcPr>
          <w:p w:rsidR="00384E30" w:rsidRDefault="00384E30" w:rsidP="00C350B6">
            <w:pPr>
              <w:pStyle w:val="IQB-Merkmalswert"/>
            </w:pPr>
            <w:r>
              <w:t>5</w:t>
            </w:r>
          </w:p>
        </w:tc>
      </w:tr>
    </w:tbl>
    <w:p w:rsidR="00694A63" w:rsidRPr="00694A63" w:rsidRDefault="00694A63" w:rsidP="00694A63">
      <w:pPr>
        <w:pStyle w:val="IQB-Teilaufgabentitel"/>
        <w:rPr>
          <w:b/>
        </w:rPr>
      </w:pPr>
      <w:r w:rsidRPr="00694A63">
        <w:rPr>
          <w:b/>
        </w:rPr>
        <w:t>Aufgabenbezogener Kommentar</w:t>
      </w:r>
    </w:p>
    <w:p w:rsidR="00384E30" w:rsidRPr="00383376" w:rsidRDefault="00384E30" w:rsidP="00384E30">
      <w:pPr>
        <w:pStyle w:val="IQB-Standard"/>
        <w:rPr>
          <w:sz w:val="22"/>
          <w:szCs w:val="22"/>
        </w:rPr>
      </w:pPr>
      <w:r w:rsidRPr="00383376">
        <w:rPr>
          <w:sz w:val="22"/>
          <w:szCs w:val="22"/>
        </w:rPr>
        <w:t>Diese Aufgabe bezieht sich im Wesentlichen auf die Prozentrechnung und wird daher der Leitidee Zahl (L1) zugeordnet.</w:t>
      </w:r>
    </w:p>
    <w:p w:rsidR="00384E30" w:rsidRDefault="00384E30" w:rsidP="00384E30">
      <w:pPr>
        <w:pStyle w:val="IQB-Standard"/>
        <w:rPr>
          <w:sz w:val="22"/>
          <w:szCs w:val="22"/>
        </w:rPr>
      </w:pPr>
      <w:r w:rsidRPr="00383376">
        <w:rPr>
          <w:sz w:val="22"/>
          <w:szCs w:val="22"/>
        </w:rPr>
        <w:t>In beiden Teilaufgaben sollen realitätsnahe Problemstellungen zur Rabattierung von Produkten mit mathematischen Methoden bearbeitet werden (K3). In der ersten Teilaufgabe muss der Preis einer 64 Euro teuren Jeanshose nach einer Preisreduktion um 25 Prozent berechnet bzw. abgeschätzt werden. Die Schülerinnen und Schüler können hier entweder 25 Prozent von 64 Euro berechnen und vom bisherigen Preis subtrahieren oder den neuen Preis direkt ermittelten, indem sie 75 Prozent von 64 Euro berechnen. Hierzu können sie etwa auf die Prozentformel oder die Dreisatzmethode zurückgreifen (K5). Auch eine geeignete Überschlagsrechnung bietet sich an. Weiterhin sollen die Lernenden hier ihren Lösungsweg beschreiben (K6).</w:t>
      </w:r>
    </w:p>
    <w:p w:rsidR="00384E30" w:rsidRPr="00383376" w:rsidRDefault="00384E30" w:rsidP="00384E30">
      <w:pPr>
        <w:pStyle w:val="IQB-Standard"/>
        <w:rPr>
          <w:sz w:val="22"/>
          <w:szCs w:val="22"/>
        </w:rPr>
      </w:pPr>
      <w:r>
        <w:rPr>
          <w:sz w:val="22"/>
          <w:szCs w:val="22"/>
        </w:rPr>
        <w:t>I</w:t>
      </w:r>
      <w:r w:rsidRPr="00383376">
        <w:rPr>
          <w:sz w:val="22"/>
          <w:szCs w:val="22"/>
        </w:rPr>
        <w:t xml:space="preserve">n der zweiten Teilaufgabe müssen </w:t>
      </w:r>
      <w:r>
        <w:rPr>
          <w:sz w:val="22"/>
          <w:szCs w:val="22"/>
        </w:rPr>
        <w:t xml:space="preserve">ebenfalls </w:t>
      </w:r>
      <w:r w:rsidRPr="00383376">
        <w:rPr>
          <w:sz w:val="22"/>
          <w:szCs w:val="22"/>
        </w:rPr>
        <w:t>Prozentwerte berechnet werden, um die gegebene Aussage über eine zweimalige Preissenkung auf ihren Wahrheitsgehalt hin beurteilen zu können (K5). Ihre Entscheidung sollen die Lernenden schriftlich begründen (K1).</w:t>
      </w:r>
    </w:p>
    <w:p w:rsidR="00384E30" w:rsidRPr="00384E30" w:rsidRDefault="00384E30" w:rsidP="00384E30">
      <w:pPr>
        <w:spacing w:before="60"/>
        <w:rPr>
          <w:rFonts w:ascii="Arial" w:hAnsi="Arial" w:cs="Arial"/>
          <w:sz w:val="22"/>
          <w:szCs w:val="22"/>
        </w:rPr>
      </w:pPr>
      <w:r w:rsidRPr="00384E30">
        <w:rPr>
          <w:rFonts w:ascii="Arial" w:hAnsi="Arial" w:cs="Arial"/>
          <w:sz w:val="22"/>
          <w:szCs w:val="22"/>
        </w:rPr>
        <w:t xml:space="preserve">Teilaufgabe 1 wird dem Anforderungsbereich I zugeordnet, weil hier lediglich Routineverfahren angewandt werden müssen. Teilaufgabe 2 gehört dagegen aufgrund der </w:t>
      </w:r>
      <w:proofErr w:type="spellStart"/>
      <w:r w:rsidRPr="00384E30">
        <w:rPr>
          <w:rFonts w:ascii="Arial" w:hAnsi="Arial" w:cs="Arial"/>
          <w:sz w:val="22"/>
          <w:szCs w:val="22"/>
        </w:rPr>
        <w:t>Mehrschrittigkeit</w:t>
      </w:r>
      <w:proofErr w:type="spellEnd"/>
      <w:r w:rsidRPr="00384E30">
        <w:rPr>
          <w:rFonts w:ascii="Arial" w:hAnsi="Arial" w:cs="Arial"/>
          <w:sz w:val="22"/>
          <w:szCs w:val="22"/>
        </w:rPr>
        <w:t xml:space="preserve"> des Lösungswegs dem Anforderungsbereich II an.</w:t>
      </w:r>
    </w:p>
    <w:p w:rsidR="00694A63" w:rsidRPr="00694A63" w:rsidRDefault="00694A63" w:rsidP="00694A63">
      <w:pPr>
        <w:pStyle w:val="IQB-Teilaufgabentitel"/>
        <w:rPr>
          <w:b/>
        </w:rPr>
      </w:pPr>
      <w:r w:rsidRPr="00694A63">
        <w:rPr>
          <w:b/>
        </w:rPr>
        <w:t>Anregungen für den Unterricht</w:t>
      </w:r>
    </w:p>
    <w:p w:rsidR="00384E30" w:rsidRPr="00383376" w:rsidRDefault="00384E30" w:rsidP="00384E30">
      <w:pPr>
        <w:pStyle w:val="IQB-Standard"/>
        <w:rPr>
          <w:sz w:val="22"/>
          <w:szCs w:val="22"/>
        </w:rPr>
      </w:pPr>
      <w:r w:rsidRPr="00383376">
        <w:rPr>
          <w:sz w:val="22"/>
          <w:szCs w:val="22"/>
        </w:rPr>
        <w:t>Aufgaben zum Modellieren mit Prozentsätzen lassen sich in vielen Schulbüchern finden. Man kann Schulbuchaufgaben häufig dahingehend öffnen, dass nicht einfach nach der Berechnung eines reduzierten Preises (oder dem ursprünglichen Preis) gefragt wird, sondern überprüft oder begründet werden muss, ob eine gegebene Aussage stimmt. Beide Teilaufgaben machen dies deutlich. So erreicht man, dass neben der Kompetenz zu technischem Arbeiten (K5) auch Modellierungskompetenzen (K3) oder Argumentationskompetenzen (K1) gefördert werden.</w:t>
      </w:r>
    </w:p>
    <w:p w:rsidR="00384E30" w:rsidRPr="00383376" w:rsidRDefault="00384E30" w:rsidP="00384E30">
      <w:pPr>
        <w:pStyle w:val="IQB-Standard"/>
        <w:rPr>
          <w:sz w:val="22"/>
          <w:szCs w:val="22"/>
        </w:rPr>
      </w:pPr>
      <w:r w:rsidRPr="00383376">
        <w:rPr>
          <w:sz w:val="22"/>
          <w:szCs w:val="22"/>
        </w:rPr>
        <w:t xml:space="preserve">Als heuristisches Hilfsmittel bietet sich für derartige Aufgaben ein Prozentband an. Dies erhält man durch Anbringen einer Prozentskala auf einem Gummiband. Das kann dann auf dem Zahlenstrahl so am Grundwert eingestellt werden, dass die entsprechenden Prozentwerte abgelesen werden können. </w:t>
      </w:r>
    </w:p>
    <w:p w:rsidR="00384E30" w:rsidRDefault="00384E30" w:rsidP="00384E30">
      <w:pPr>
        <w:pStyle w:val="IQB-Standard"/>
        <w:spacing w:after="60"/>
        <w:rPr>
          <w:sz w:val="22"/>
          <w:szCs w:val="22"/>
        </w:rPr>
      </w:pPr>
      <w:r w:rsidRPr="00383376">
        <w:rPr>
          <w:sz w:val="22"/>
          <w:szCs w:val="22"/>
        </w:rPr>
        <w:t xml:space="preserve">Dass solche Aufgaben auch zur Vertiefung bestimmter Aspekte der Prozentrechnung dienen können, zeigt die </w:t>
      </w:r>
      <w:r>
        <w:rPr>
          <w:sz w:val="22"/>
          <w:szCs w:val="22"/>
        </w:rPr>
        <w:t xml:space="preserve">folgende Aufgabe, die sich an beiden Teilaufgaben anschließen könnte.. </w:t>
      </w:r>
      <w:r w:rsidRPr="00383376">
        <w:rPr>
          <w:sz w:val="22"/>
          <w:szCs w:val="22"/>
        </w:rPr>
        <w:t>Nachdem die Lernenden an konkreten Fällen die Berechnung eines gesenkten Preises durchgeführt haben, sind sie nun aufgefordert eine allgemeine Formel anzugeben. Dieses induktive Vorgehen erlaubt es den Schülerinnen und Schülern die Entstehung von relevanten Formeln nachzuvollziehen</w:t>
      </w:r>
      <w:r>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384E30" w:rsidTr="00C350B6">
        <w:tc>
          <w:tcPr>
            <w:tcW w:w="9778" w:type="dxa"/>
          </w:tcPr>
          <w:p w:rsidR="00384E30" w:rsidRPr="00D66AB6" w:rsidRDefault="00384E30" w:rsidP="00C350B6">
            <w:pPr>
              <w:pStyle w:val="IQB-Standard"/>
              <w:rPr>
                <w:i/>
                <w:sz w:val="22"/>
                <w:szCs w:val="22"/>
              </w:rPr>
            </w:pPr>
            <w:r>
              <w:rPr>
                <w:noProof/>
              </w:rPr>
              <w:lastRenderedPageBreak/>
              <mc:AlternateContent>
                <mc:Choice Requires="wps">
                  <w:drawing>
                    <wp:anchor distT="0" distB="0" distL="114297" distR="114297" simplePos="0" relativeHeight="251659264" behindDoc="0" locked="0" layoutInCell="1" allowOverlap="1">
                      <wp:simplePos x="0" y="0"/>
                      <wp:positionH relativeFrom="column">
                        <wp:posOffset>-135256</wp:posOffset>
                      </wp:positionH>
                      <wp:positionV relativeFrom="paragraph">
                        <wp:posOffset>-74295</wp:posOffset>
                      </wp:positionV>
                      <wp:extent cx="0" cy="882015"/>
                      <wp:effectExtent l="19050" t="0" r="38100" b="51435"/>
                      <wp:wrapNone/>
                      <wp:docPr id="151" name="Gerader Verbinde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8201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1BDCFD4" id="Gerader Verbinder 151"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65pt,-5.85pt" to="-10.65pt,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" strokecolor="#bfbfbf" strokeweight="4.5pt">
                      <o:lock v:ext="edit" shapetype="f"/>
                    </v:line>
                  </w:pict>
                </mc:Fallback>
              </mc:AlternateContent>
            </w:r>
            <w:r w:rsidRPr="00D66AB6">
              <w:rPr>
                <w:sz w:val="22"/>
                <w:szCs w:val="22"/>
              </w:rPr>
              <w:t xml:space="preserve">Ein Preis </w:t>
            </w:r>
            <w:r w:rsidRPr="00D66AB6">
              <w:rPr>
                <w:i/>
                <w:sz w:val="22"/>
                <w:szCs w:val="22"/>
              </w:rPr>
              <w:t xml:space="preserve">X </w:t>
            </w:r>
            <w:r w:rsidRPr="00D66AB6">
              <w:rPr>
                <w:sz w:val="22"/>
                <w:szCs w:val="22"/>
              </w:rPr>
              <w:t xml:space="preserve">wird zweimal um </w:t>
            </w:r>
            <w:r w:rsidRPr="00D66AB6">
              <w:rPr>
                <w:i/>
                <w:sz w:val="22"/>
                <w:szCs w:val="22"/>
              </w:rPr>
              <w:t xml:space="preserve">p % </w:t>
            </w:r>
            <w:r w:rsidRPr="00D66AB6">
              <w:rPr>
                <w:sz w:val="22"/>
                <w:szCs w:val="22"/>
              </w:rPr>
              <w:t xml:space="preserve">gesenkt: also zunächst um </w:t>
            </w:r>
            <w:r w:rsidRPr="00D66AB6">
              <w:rPr>
                <w:i/>
                <w:sz w:val="22"/>
                <w:szCs w:val="22"/>
              </w:rPr>
              <w:t xml:space="preserve">p % </w:t>
            </w:r>
            <w:r w:rsidRPr="00D66AB6">
              <w:rPr>
                <w:sz w:val="22"/>
                <w:szCs w:val="22"/>
              </w:rPr>
              <w:t xml:space="preserve">und anschließend der reduzierte Preis nochmal um </w:t>
            </w:r>
            <w:r w:rsidRPr="00D66AB6">
              <w:rPr>
                <w:i/>
                <w:sz w:val="22"/>
                <w:szCs w:val="22"/>
              </w:rPr>
              <w:t>p %.</w:t>
            </w:r>
          </w:p>
          <w:p w:rsidR="00384E30" w:rsidRPr="00D66AB6" w:rsidRDefault="00384E30" w:rsidP="00C350B6">
            <w:pPr>
              <w:pStyle w:val="IQB-Standard"/>
              <w:rPr>
                <w:sz w:val="22"/>
                <w:szCs w:val="22"/>
              </w:rPr>
            </w:pPr>
            <w:r w:rsidRPr="00D66AB6">
              <w:rPr>
                <w:sz w:val="22"/>
                <w:szCs w:val="22"/>
              </w:rPr>
              <w:t xml:space="preserve">Gib eine Formel an, mit der man aus dem alten Preis </w:t>
            </w:r>
            <w:r w:rsidRPr="00D66AB6">
              <w:rPr>
                <w:i/>
                <w:sz w:val="22"/>
                <w:szCs w:val="22"/>
              </w:rPr>
              <w:t>X</w:t>
            </w:r>
            <w:r w:rsidRPr="00D66AB6">
              <w:rPr>
                <w:sz w:val="22"/>
                <w:szCs w:val="22"/>
              </w:rPr>
              <w:t xml:space="preserve"> direkt den so reduzierten Preis </w:t>
            </w:r>
            <w:r w:rsidRPr="00D66AB6">
              <w:rPr>
                <w:i/>
                <w:sz w:val="22"/>
                <w:szCs w:val="22"/>
              </w:rPr>
              <w:t>Y</w:t>
            </w:r>
            <w:r w:rsidRPr="00D66AB6">
              <w:rPr>
                <w:sz w:val="22"/>
                <w:szCs w:val="22"/>
              </w:rPr>
              <w:t xml:space="preserve"> berechnen kann.</w:t>
            </w:r>
          </w:p>
        </w:tc>
      </w:tr>
    </w:tbl>
    <w:p w:rsidR="00384E30" w:rsidRDefault="00384E30" w:rsidP="00384E30">
      <w:pPr>
        <w:rPr>
          <w:sz w:val="22"/>
          <w:szCs w:val="22"/>
        </w:rPr>
      </w:pPr>
    </w:p>
    <w:p w:rsidR="00384E30" w:rsidRPr="00384E30" w:rsidRDefault="00384E30" w:rsidP="00384E30">
      <w:pPr>
        <w:rPr>
          <w:rFonts w:ascii="Arial" w:hAnsi="Arial" w:cs="Arial"/>
          <w:sz w:val="22"/>
          <w:szCs w:val="22"/>
        </w:rPr>
      </w:pPr>
      <w:r w:rsidRPr="00384E30">
        <w:rPr>
          <w:rFonts w:ascii="Arial" w:hAnsi="Arial" w:cs="Arial"/>
          <w:sz w:val="22"/>
          <w:szCs w:val="22"/>
        </w:rPr>
        <w:t>Dieses Anwendungsbeispiel lässt sich auch zu einer Begründungsaufgabe heranziehen, wodurch die Kompetenz mathematisch zu argumentieren (K1) angesprochen wird. Es kann z.</w:t>
      </w:r>
      <w:r w:rsidRPr="00384E30">
        <w:rPr>
          <w:rFonts w:ascii="Arial" w:hAnsi="Arial" w:cs="Arial"/>
          <w:sz w:val="11"/>
          <w:szCs w:val="11"/>
        </w:rPr>
        <w:t> </w:t>
      </w:r>
      <w:r w:rsidRPr="00384E30">
        <w:rPr>
          <w:rFonts w:ascii="Arial" w:hAnsi="Arial" w:cs="Arial"/>
          <w:sz w:val="22"/>
          <w:szCs w:val="22"/>
        </w:rPr>
        <w:t>B. gefragt werden, ob es einen Unterschied für den Endpreis einer Jeans macht, wenn sie erst um 20 Prozent und dann um 10 Prozent reduziert wird oder umgekehrt.</w:t>
      </w:r>
    </w:p>
    <w:p w:rsidR="00694A63" w:rsidRPr="00384E30" w:rsidRDefault="00694A63" w:rsidP="00384E30">
      <w:pPr>
        <w:pStyle w:val="IQB-Standard"/>
        <w:rPr>
          <w:rFonts w:cs="Arial"/>
          <w:sz w:val="12"/>
          <w:szCs w:val="22"/>
        </w:rPr>
      </w:pPr>
      <w:bookmarkStart w:id="0" w:name="_GoBack"/>
      <w:bookmarkEnd w:id="0"/>
    </w:p>
    <w:sectPr w:rsidR="00694A63" w:rsidRPr="00384E3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109B3C53-2DE0-40B2-8F2C-7A0883978455}"/>
    <w:embedBold r:id="rId2" w:fontKey="{0615C1CA-E58C-455D-A405-9710A375B2DA}"/>
    <w:embedItalic r:id="rId3" w:fontKey="{F184FB71-CF10-4803-96B5-28F64EB29018}"/>
    <w:embedBoldItalic r:id="rId4" w:fontKey="{FF8D5840-0413-4685-AA96-B18CC39E7E2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4"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D0D61C5"/>
    <w:multiLevelType w:val="hybridMultilevel"/>
    <w:tmpl w:val="093CBE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7"/>
  </w:num>
  <w:num w:numId="5">
    <w:abstractNumId w:val="2"/>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770AD"/>
    <w:rsid w:val="00384E30"/>
    <w:rsid w:val="003A1C8B"/>
    <w:rsid w:val="003A496B"/>
    <w:rsid w:val="003C0E87"/>
    <w:rsid w:val="003C7D61"/>
    <w:rsid w:val="003D7948"/>
    <w:rsid w:val="003E1005"/>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6B6704"/>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222F0"/>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BF6210"/>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5AE1314F"/>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E0CE5-B3D8-468B-9A80-6E4C4D7A5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493</Words>
  <Characters>3226</Characters>
  <Application>Microsoft Office Word</Application>
  <DocSecurity>0</DocSecurity>
  <Lines>76</Lines>
  <Paragraphs>50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2025-05-22T13:33:00Z</dcterms:created>
  <dcterms:modified xsi:type="dcterms:W3CDTF">2025-05-22T13:33:00Z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